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ook w:val="0000" w:firstRow="0" w:lastRow="0" w:firstColumn="0" w:lastColumn="0" w:noHBand="0" w:noVBand="0"/>
      </w:tblPr>
      <w:tblGrid>
        <w:gridCol w:w="4428"/>
        <w:gridCol w:w="5461"/>
      </w:tblGrid>
      <w:tr w:rsidR="007D72EC">
        <w:tc>
          <w:tcPr>
            <w:tcW w:w="4428" w:type="dxa"/>
            <w:shd w:val="clear" w:color="auto" w:fill="auto"/>
          </w:tcPr>
          <w:p w:rsidR="007D72EC" w:rsidRDefault="00131D41">
            <w:pPr>
              <w:tabs>
                <w:tab w:val="left" w:pos="851"/>
              </w:tabs>
            </w:pPr>
            <w:r>
              <w:rPr>
                <w:rFonts w:ascii="Calibri" w:hAnsi="Calibri"/>
              </w:rPr>
              <w:t>From:</w:t>
            </w:r>
            <w:r>
              <w:rPr>
                <w:rFonts w:ascii="Calibri" w:hAnsi="Calibri"/>
              </w:rPr>
              <w:tab/>
              <w:t>ARM</w:t>
            </w:r>
          </w:p>
        </w:tc>
        <w:tc>
          <w:tcPr>
            <w:tcW w:w="5460" w:type="dxa"/>
            <w:shd w:val="clear" w:color="auto" w:fill="auto"/>
          </w:tcPr>
          <w:p w:rsidR="007D72EC" w:rsidRDefault="002D2D64">
            <w:pPr>
              <w:jc w:val="right"/>
              <w:rPr>
                <w:rFonts w:ascii="Calibri" w:hAnsi="Calibri"/>
                <w:highlight w:val="yellow"/>
              </w:rPr>
            </w:pPr>
            <w:bookmarkStart w:id="0" w:name="_GoBack"/>
            <w:bookmarkEnd w:id="0"/>
            <w:r w:rsidRPr="002D2D64">
              <w:rPr>
                <w:rFonts w:ascii="Calibri" w:hAnsi="Calibri"/>
              </w:rPr>
              <w:t>ARM9-12.2.3</w:t>
            </w:r>
          </w:p>
        </w:tc>
      </w:tr>
      <w:tr w:rsidR="007D72EC">
        <w:tc>
          <w:tcPr>
            <w:tcW w:w="4428" w:type="dxa"/>
            <w:shd w:val="clear" w:color="auto" w:fill="auto"/>
          </w:tcPr>
          <w:p w:rsidR="007D72EC" w:rsidRDefault="00131D41">
            <w:pPr>
              <w:tabs>
                <w:tab w:val="left" w:pos="851"/>
              </w:tabs>
            </w:pPr>
            <w:r>
              <w:rPr>
                <w:rFonts w:ascii="Calibri" w:hAnsi="Calibri"/>
              </w:rPr>
              <w:t>To:</w:t>
            </w:r>
            <w:r>
              <w:rPr>
                <w:rFonts w:ascii="Calibri" w:hAnsi="Calibri"/>
              </w:rPr>
              <w:tab/>
              <w:t>ENG</w:t>
            </w:r>
          </w:p>
        </w:tc>
        <w:tc>
          <w:tcPr>
            <w:tcW w:w="5460" w:type="dxa"/>
            <w:shd w:val="clear" w:color="auto" w:fill="auto"/>
          </w:tcPr>
          <w:p w:rsidR="007D72EC" w:rsidRDefault="002D2D64">
            <w:pPr>
              <w:jc w:val="right"/>
              <w:rPr>
                <w:rFonts w:ascii="Calibri" w:hAnsi="Calibri"/>
              </w:rPr>
            </w:pPr>
            <w:r>
              <w:rPr>
                <w:rFonts w:ascii="Calibri" w:hAnsi="Calibri"/>
              </w:rPr>
              <w:t>05 April 2019</w:t>
            </w:r>
          </w:p>
        </w:tc>
      </w:tr>
    </w:tbl>
    <w:p w:rsidR="007D72EC" w:rsidRDefault="00131D41">
      <w:pPr>
        <w:pStyle w:val="Title"/>
        <w:spacing w:before="480" w:after="120"/>
        <w:rPr>
          <w:rFonts w:ascii="Calibri" w:hAnsi="Calibri"/>
          <w:color w:val="00558C"/>
        </w:rPr>
      </w:pPr>
      <w:r>
        <w:rPr>
          <w:rFonts w:ascii="Calibri" w:hAnsi="Calibri"/>
          <w:color w:val="00558C"/>
        </w:rPr>
        <w:t>LIAISON NOTE</w:t>
      </w:r>
    </w:p>
    <w:p w:rsidR="007D72EC" w:rsidRDefault="00131D41">
      <w:pPr>
        <w:pStyle w:val="Title"/>
        <w:spacing w:after="120"/>
      </w:pPr>
      <w:r>
        <w:rPr>
          <w:rFonts w:ascii="Calibri" w:hAnsi="Calibri"/>
          <w:color w:val="00558C"/>
        </w:rPr>
        <w:t>Use of Recommendation E-111 on Port Traffic Signals</w:t>
      </w:r>
    </w:p>
    <w:p w:rsidR="007D72EC" w:rsidRDefault="00131D41">
      <w:pPr>
        <w:pStyle w:val="Heading1"/>
        <w:numPr>
          <w:ilvl w:val="0"/>
          <w:numId w:val="2"/>
        </w:numPr>
        <w:ind w:left="567" w:hanging="567"/>
      </w:pPr>
      <w:r>
        <w:t>Introduction</w:t>
      </w:r>
    </w:p>
    <w:p w:rsidR="007D72EC" w:rsidRDefault="00131D41">
      <w:pPr>
        <w:pStyle w:val="BodyText"/>
      </w:pPr>
      <w:r>
        <w:t>ENG committee requested that ARM committee (ARM8-9.12) advise on whether their members are applying the Recommendation E-111</w:t>
      </w:r>
      <w:bookmarkStart w:id="1" w:name="_GoBack1"/>
      <w:bookmarkEnd w:id="1"/>
      <w:r>
        <w:t xml:space="preserve"> in their ports, or whether they encounter difficulties in applying it.</w:t>
      </w:r>
    </w:p>
    <w:p w:rsidR="007D72EC" w:rsidRDefault="00131D41">
      <w:pPr>
        <w:pStyle w:val="Heading1"/>
        <w:numPr>
          <w:ilvl w:val="0"/>
          <w:numId w:val="2"/>
        </w:numPr>
        <w:ind w:left="567" w:hanging="567"/>
      </w:pPr>
      <w:r>
        <w:t>Discussion</w:t>
      </w:r>
    </w:p>
    <w:p w:rsidR="007D72EC" w:rsidRDefault="00131D41">
      <w:pPr>
        <w:pStyle w:val="BodyText"/>
      </w:pPr>
      <w:r>
        <w:t xml:space="preserve">ARM committee sent a questionnaire to IALA members </w:t>
      </w:r>
      <w:r>
        <w:rPr>
          <w:rFonts w:cstheme="minorHAnsi"/>
        </w:rPr>
        <w:t>to obtain information on the use of Port Traffic Signals (PTS). ARM committee obtained input from nineteen delegate countries and a few responses from Port authorities. Five of them declared that they do not use PTS at all, and five others can’t be taken into account because answers are incomplete.</w:t>
      </w:r>
    </w:p>
    <w:p w:rsidR="007D72EC" w:rsidRDefault="00131D41">
      <w:pPr>
        <w:pStyle w:val="BodyText"/>
      </w:pPr>
      <w:r>
        <w:rPr>
          <w:rFonts w:cstheme="minorHAnsi"/>
        </w:rPr>
        <w:t>40% use Port Traffic Signals as recommended by E111 and have no problems.</w:t>
      </w:r>
    </w:p>
    <w:p w:rsidR="007D72EC" w:rsidRDefault="00131D41">
      <w:pPr>
        <w:pStyle w:val="BodyText"/>
      </w:pPr>
      <w:r>
        <w:rPr>
          <w:rFonts w:cstheme="minorHAnsi"/>
        </w:rPr>
        <w:t xml:space="preserve">60% use Port Traffic Signals and have difficulties applying E111 recommendation. 70% of those still use Port Traffic Signals as they did before, changing will be </w:t>
      </w:r>
      <w:proofErr w:type="spellStart"/>
      <w:r>
        <w:rPr>
          <w:rFonts w:cstheme="minorHAnsi"/>
        </w:rPr>
        <w:t>to</w:t>
      </w:r>
      <w:proofErr w:type="spellEnd"/>
      <w:r>
        <w:rPr>
          <w:rFonts w:cstheme="minorHAnsi"/>
        </w:rPr>
        <w:t xml:space="preserve"> difficult for the users.</w:t>
      </w:r>
    </w:p>
    <w:p w:rsidR="007D72EC" w:rsidRDefault="00131D41">
      <w:pPr>
        <w:pStyle w:val="BodyText"/>
      </w:pPr>
      <w:r>
        <w:rPr>
          <w:rFonts w:cstheme="minorHAnsi"/>
        </w:rPr>
        <w:t xml:space="preserve">It should be noted that MBS considers that traffic signals could be a port or harbour mark, with local marking measures, which are regulated by Local Regulation or by-laws.  In general IALA member states consider this outside of </w:t>
      </w:r>
      <w:proofErr w:type="spellStart"/>
      <w:r>
        <w:rPr>
          <w:rFonts w:cstheme="minorHAnsi"/>
        </w:rPr>
        <w:t>AtoN</w:t>
      </w:r>
      <w:proofErr w:type="spellEnd"/>
      <w:r>
        <w:rPr>
          <w:rFonts w:cstheme="minorHAnsi"/>
        </w:rPr>
        <w:t xml:space="preserve"> jurisdiction.</w:t>
      </w:r>
    </w:p>
    <w:p w:rsidR="007D72EC" w:rsidRDefault="00131D41">
      <w:pPr>
        <w:pStyle w:val="BodyText"/>
      </w:pPr>
      <w:r>
        <w:rPr>
          <w:rFonts w:cstheme="minorHAnsi"/>
        </w:rPr>
        <w:t>ARM committee also noted that recommendation E111 should consider the technical aspect of the PTS as visual range (day and night), vertical and horizontal divergence, height of the light, height of the observer, chromaticity…. As well, the possibility for the port or other marine services to inform mariners of the situation by electronic systems.</w:t>
      </w:r>
    </w:p>
    <w:p w:rsidR="007D72EC" w:rsidRDefault="00131D41">
      <w:pPr>
        <w:pStyle w:val="BodyText"/>
      </w:pPr>
      <w:r>
        <w:rPr>
          <w:rFonts w:cstheme="minorHAnsi"/>
        </w:rPr>
        <w:t xml:space="preserve">PTS should not interfere with </w:t>
      </w:r>
      <w:proofErr w:type="spellStart"/>
      <w:r>
        <w:rPr>
          <w:rFonts w:cstheme="minorHAnsi"/>
        </w:rPr>
        <w:t>AtoN</w:t>
      </w:r>
      <w:proofErr w:type="spellEnd"/>
      <w:r>
        <w:rPr>
          <w:rFonts w:cstheme="minorHAnsi"/>
        </w:rPr>
        <w:t xml:space="preserve"> in the area, specifically </w:t>
      </w:r>
      <w:r w:rsidR="005F12CC">
        <w:rPr>
          <w:rFonts w:cstheme="minorHAnsi"/>
        </w:rPr>
        <w:t xml:space="preserve">other navigation </w:t>
      </w:r>
      <w:r>
        <w:rPr>
          <w:rFonts w:cstheme="minorHAnsi"/>
        </w:rPr>
        <w:t>lights. PTS provider should consider the existing background lighting in the vicinity for making sure these does not mislead mariners.</w:t>
      </w:r>
    </w:p>
    <w:p w:rsidR="007D72EC" w:rsidRDefault="00131D41">
      <w:pPr>
        <w:pStyle w:val="BodyText"/>
        <w:rPr>
          <w:highlight w:val="yellow"/>
        </w:rPr>
      </w:pPr>
      <w:r>
        <w:rPr>
          <w:highlight w:val="yellow"/>
        </w:rPr>
        <w:t xml:space="preserve">          </w:t>
      </w:r>
    </w:p>
    <w:p w:rsidR="007D72EC" w:rsidRDefault="00131D41">
      <w:pPr>
        <w:pStyle w:val="BodyText"/>
      </w:pPr>
      <w:r>
        <w:t>Questionnaire with detailed responses and examples will be shared with ENG committee.</w:t>
      </w:r>
    </w:p>
    <w:p w:rsidR="007D72EC" w:rsidRDefault="007D72EC">
      <w:pPr>
        <w:pStyle w:val="BodyText"/>
      </w:pPr>
    </w:p>
    <w:p w:rsidR="007D72EC" w:rsidRDefault="00131D41">
      <w:pPr>
        <w:pStyle w:val="Heading1"/>
        <w:numPr>
          <w:ilvl w:val="0"/>
          <w:numId w:val="2"/>
        </w:numPr>
        <w:ind w:left="567" w:hanging="567"/>
      </w:pPr>
      <w:r>
        <w:t>Action requested</w:t>
      </w:r>
    </w:p>
    <w:p w:rsidR="007D72EC" w:rsidRDefault="00131D41">
      <w:pPr>
        <w:pStyle w:val="BodyText"/>
      </w:pPr>
      <w:r>
        <w:t>The ENG committee is requested to:</w:t>
      </w:r>
    </w:p>
    <w:p w:rsidR="007D72EC" w:rsidRDefault="00131D41">
      <w:pPr>
        <w:pStyle w:val="Punktliste31"/>
        <w:numPr>
          <w:ilvl w:val="0"/>
          <w:numId w:val="3"/>
        </w:numPr>
      </w:pPr>
      <w:r>
        <w:t>Consider ARM committee comments and data from questionnaire when updating of the E111 recommendation.</w:t>
      </w:r>
    </w:p>
    <w:sectPr w:rsidR="007D72EC">
      <w:headerReference w:type="default" r:id="rId7"/>
      <w:footerReference w:type="default" r:id="rId8"/>
      <w:pgSz w:w="12240" w:h="15840"/>
      <w:pgMar w:top="1134" w:right="1134" w:bottom="1134" w:left="1134" w:header="72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5298" w:rsidRDefault="00131D41">
      <w:r>
        <w:separator/>
      </w:r>
    </w:p>
  </w:endnote>
  <w:endnote w:type="continuationSeparator" w:id="0">
    <w:p w:rsidR="003E5298" w:rsidRDefault="00131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2EC" w:rsidRDefault="00131D41">
    <w:pPr>
      <w:pStyle w:val="Footer"/>
    </w:pPr>
    <w:r>
      <w:tab/>
    </w:r>
    <w:r>
      <w:fldChar w:fldCharType="begin"/>
    </w:r>
    <w:r>
      <w:instrText>PAGE</w:instrText>
    </w:r>
    <w:r>
      <w:fldChar w:fldCharType="separate"/>
    </w:r>
    <w:r w:rsidR="005F12CC">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5298" w:rsidRDefault="00131D41">
      <w:r>
        <w:separator/>
      </w:r>
    </w:p>
  </w:footnote>
  <w:footnote w:type="continuationSeparator" w:id="0">
    <w:p w:rsidR="003E5298" w:rsidRDefault="00131D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2EC" w:rsidRDefault="00131D41">
    <w:pPr>
      <w:pStyle w:val="Header"/>
    </w:pPr>
    <w:r>
      <w:rPr>
        <w:noProof/>
        <w:lang w:val="nb-NO" w:eastAsia="nb-NO"/>
      </w:rPr>
      <w:drawing>
        <wp:inline distT="0" distB="0" distL="0" distR="0">
          <wp:extent cx="748665" cy="729615"/>
          <wp:effectExtent l="0" t="0" r="0"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
                  <a:stretch>
                    <a:fillRect/>
                  </a:stretch>
                </pic:blipFill>
                <pic:spPr bwMode="auto">
                  <a:xfrm>
                    <a:off x="0" y="0"/>
                    <a:ext cx="748665" cy="7296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E77233"/>
    <w:multiLevelType w:val="multilevel"/>
    <w:tmpl w:val="A3F808A2"/>
    <w:lvl w:ilvl="0">
      <w:start w:val="1"/>
      <w:numFmt w:val="decimal"/>
      <w:lvlText w:val="%1"/>
      <w:lvlJc w:val="left"/>
      <w:pPr>
        <w:tabs>
          <w:tab w:val="num" w:pos="567"/>
        </w:tabs>
        <w:ind w:left="567" w:hanging="567"/>
      </w:pPr>
      <w:rPr>
        <w:rFonts w:cs="Times New Roman"/>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lvl>
    <w:lvl w:ilvl="2">
      <w:start w:val="1"/>
      <w:numFmt w:val="lowerRoman"/>
      <w:lvlText w:val="%3."/>
      <w:lvlJc w:val="right"/>
      <w:pPr>
        <w:tabs>
          <w:tab w:val="num" w:pos="1701"/>
        </w:tabs>
        <w:ind w:left="1701" w:hanging="567"/>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77002B5"/>
    <w:multiLevelType w:val="multilevel"/>
    <w:tmpl w:val="EFECE3F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3C8B5317"/>
    <w:multiLevelType w:val="multilevel"/>
    <w:tmpl w:val="ADE48C6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2EC"/>
    <w:rsid w:val="00131D41"/>
    <w:rsid w:val="002D2D64"/>
    <w:rsid w:val="003E5298"/>
    <w:rsid w:val="005F12CC"/>
    <w:rsid w:val="007D72EC"/>
    <w:rsid w:val="007F0E4E"/>
  </w:rsids>
  <m:mathPr>
    <m:mathFont m:val="Cambria Math"/>
    <m:brkBin m:val="before"/>
    <m:brkBinSub m:val="--"/>
    <m:smallFrac m:val="0"/>
    <m:dispDef/>
    <m:lMargin m:val="0"/>
    <m:rMargin m:val="0"/>
    <m:defJc m:val="centerGroup"/>
    <m:wrapIndent m:val="1440"/>
    <m:intLim m:val="subSup"/>
    <m:naryLim m:val="undOvr"/>
  </m:mathPr>
  <w:themeFontLang w:val="en-I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80EF9"/>
  <w15:docId w15:val="{ED16F269-FB8E-45BC-9205-E062F0216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I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E66034"/>
    <w:pPr>
      <w:keepNext/>
      <w:numPr>
        <w:numId w:val="1"/>
      </w:numPr>
      <w:tabs>
        <w:tab w:val="left" w:pos="567"/>
      </w:tabs>
      <w:spacing w:before="240" w:after="240"/>
      <w:ind w:left="567" w:hanging="567"/>
      <w:outlineLvl w:val="0"/>
    </w:pPr>
    <w:rPr>
      <w:rFonts w:ascii="Calibri" w:eastAsia="MS Mincho" w:hAnsi="Calibri"/>
      <w:b/>
      <w:color w:val="00558C"/>
      <w:kern w:val="2"/>
      <w:lang w:eastAsia="de-DE"/>
    </w:rPr>
  </w:style>
  <w:style w:type="paragraph" w:styleId="Heading2">
    <w:name w:val="heading 2"/>
    <w:basedOn w:val="Heading1"/>
    <w:next w:val="Normal"/>
    <w:qFormat/>
    <w:rsid w:val="00135447"/>
    <w:pPr>
      <w:numPr>
        <w:ilvl w:val="1"/>
      </w:numPr>
      <w:tabs>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
      </w:numPr>
      <w:tabs>
        <w:tab w:val="left" w:pos="851"/>
      </w:tabs>
      <w:spacing w:before="120" w:after="120"/>
      <w:ind w:left="851" w:hanging="851"/>
      <w:jc w:val="both"/>
      <w:outlineLvl w:val="2"/>
    </w:pPr>
    <w:rPr>
      <w:iCs/>
      <w:lang w:eastAsia="en-GB"/>
    </w:rPr>
  </w:style>
  <w:style w:type="paragraph" w:styleId="Heading4">
    <w:name w:val="heading 4"/>
    <w:basedOn w:val="Normal"/>
    <w:next w:val="Normal"/>
    <w:qFormat/>
    <w:rsid w:val="00135447"/>
    <w:pPr>
      <w:keepNext/>
      <w:widowControl w:val="0"/>
      <w:numPr>
        <w:ilvl w:val="3"/>
        <w:numId w:val="1"/>
      </w:numPr>
      <w:tabs>
        <w:tab w:val="left" w:pos="1134"/>
      </w:tabs>
      <w:spacing w:before="120" w:after="120"/>
      <w:ind w:left="1134" w:hanging="1134"/>
      <w:outlineLvl w:val="3"/>
    </w:pPr>
    <w:rPr>
      <w:bCs/>
      <w:szCs w:val="28"/>
      <w:lang w:eastAsia="fr-FR"/>
    </w:rPr>
  </w:style>
  <w:style w:type="paragraph" w:styleId="Heading5">
    <w:name w:val="heading 5"/>
    <w:basedOn w:val="Normal"/>
    <w:next w:val="Normal"/>
    <w:qFormat/>
    <w:rsid w:val="00135447"/>
    <w:pPr>
      <w:numPr>
        <w:ilvl w:val="4"/>
        <w:numId w:val="1"/>
      </w:numPr>
      <w:tabs>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
      </w:numPr>
      <w:spacing w:before="240" w:after="60"/>
      <w:outlineLvl w:val="5"/>
    </w:pPr>
    <w:rPr>
      <w:rFonts w:cs="Arial"/>
      <w:b/>
      <w:bCs/>
      <w:lang w:eastAsia="en-GB"/>
    </w:rPr>
  </w:style>
  <w:style w:type="paragraph" w:styleId="Heading7">
    <w:name w:val="heading 7"/>
    <w:basedOn w:val="Normal"/>
    <w:next w:val="Normal"/>
    <w:qFormat/>
    <w:rsid w:val="000348ED"/>
    <w:pPr>
      <w:numPr>
        <w:ilvl w:val="6"/>
        <w:numId w:val="1"/>
      </w:numPr>
      <w:spacing w:before="240" w:after="60"/>
      <w:outlineLvl w:val="6"/>
    </w:pPr>
  </w:style>
  <w:style w:type="paragraph" w:styleId="Heading8">
    <w:name w:val="heading 8"/>
    <w:basedOn w:val="Normal"/>
    <w:next w:val="Normal"/>
    <w:qFormat/>
    <w:rsid w:val="000348ED"/>
    <w:pPr>
      <w:numPr>
        <w:ilvl w:val="7"/>
        <w:numId w:val="1"/>
      </w:numPr>
      <w:spacing w:before="240" w:after="60"/>
      <w:outlineLvl w:val="7"/>
    </w:pPr>
    <w:rPr>
      <w:i/>
      <w:iCs/>
    </w:rPr>
  </w:style>
  <w:style w:type="paragraph" w:styleId="Heading9">
    <w:name w:val="heading 9"/>
    <w:basedOn w:val="Normal"/>
    <w:next w:val="Normal"/>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link w:val="Footer"/>
    <w:qFormat/>
    <w:rsid w:val="005D05AC"/>
    <w:rPr>
      <w:rFonts w:ascii="Arial" w:eastAsia="MS Mincho" w:hAnsi="Arial" w:cs="Arial"/>
      <w:sz w:val="22"/>
      <w:szCs w:val="24"/>
      <w:lang w:eastAsia="ja-JP"/>
    </w:rPr>
  </w:style>
  <w:style w:type="character" w:customStyle="1" w:styleId="HeaderChar">
    <w:name w:val="Header Char"/>
    <w:link w:val="Header"/>
    <w:qFormat/>
    <w:rsid w:val="005D05AC"/>
    <w:rPr>
      <w:rFonts w:ascii="Arial" w:eastAsia="MS Mincho" w:hAnsi="Arial"/>
      <w:lang w:eastAsia="ja-JP"/>
    </w:rPr>
  </w:style>
  <w:style w:type="character" w:styleId="PageNumber">
    <w:name w:val="page number"/>
    <w:qFormat/>
    <w:rsid w:val="005D05AC"/>
    <w:rPr>
      <w:rFonts w:ascii="Arial" w:hAnsi="Arial"/>
      <w:sz w:val="20"/>
    </w:rPr>
  </w:style>
  <w:style w:type="character" w:customStyle="1" w:styleId="BodyTextChar">
    <w:name w:val="Body Text Char"/>
    <w:link w:val="BodyText"/>
    <w:qFormat/>
    <w:rsid w:val="00E66034"/>
    <w:rPr>
      <w:rFonts w:ascii="Calibri" w:eastAsia="Calibri" w:hAnsi="Calibri" w:cs="Calibri"/>
      <w:sz w:val="22"/>
      <w:szCs w:val="22"/>
      <w:lang w:eastAsia="en-GB"/>
    </w:rPr>
  </w:style>
  <w:style w:type="character" w:customStyle="1" w:styleId="BodyTextIndentChar">
    <w:name w:val="Body Text Indent Char"/>
    <w:link w:val="BodyTextIndent"/>
    <w:qFormat/>
    <w:rsid w:val="00002906"/>
    <w:rPr>
      <w:rFonts w:ascii="Arial" w:eastAsia="Calibri" w:hAnsi="Arial" w:cs="Calibri"/>
      <w:sz w:val="22"/>
      <w:szCs w:val="22"/>
    </w:rPr>
  </w:style>
  <w:style w:type="character" w:customStyle="1" w:styleId="BodyTextIndent2Char">
    <w:name w:val="Body Text Indent 2 Char"/>
    <w:link w:val="BodyTextIndent2"/>
    <w:qFormat/>
    <w:rsid w:val="00002906"/>
    <w:rPr>
      <w:rFonts w:ascii="Arial" w:eastAsia="Calibri" w:hAnsi="Arial" w:cs="Calibri"/>
      <w:sz w:val="22"/>
      <w:szCs w:val="22"/>
      <w:lang w:eastAsia="de-DE"/>
    </w:rPr>
  </w:style>
  <w:style w:type="character" w:customStyle="1" w:styleId="ListLabel1">
    <w:name w:val="ListLabel 1"/>
    <w:qFormat/>
    <w:rPr>
      <w:b/>
      <w:i w:val="0"/>
      <w:sz w:val="28"/>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i w:val="0"/>
      <w:sz w:val="22"/>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b w:val="0"/>
      <w:i/>
      <w:sz w:val="22"/>
    </w:rPr>
  </w:style>
  <w:style w:type="character" w:customStyle="1" w:styleId="ListLabel13">
    <w:name w:val="ListLabel 13"/>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ListLabel14">
    <w:name w:val="ListLabel 14"/>
    <w:qFormat/>
    <w:rPr>
      <w:b w:val="0"/>
      <w:i w:val="0"/>
      <w:sz w:val="22"/>
      <w:szCs w:val="22"/>
    </w:rPr>
  </w:style>
  <w:style w:type="character" w:customStyle="1" w:styleId="ListLabel15">
    <w:name w:val="ListLabel 15"/>
    <w:qFormat/>
    <w:rPr>
      <w:b w:val="0"/>
      <w:i w:val="0"/>
      <w:sz w:val="22"/>
      <w:szCs w:val="22"/>
    </w:rPr>
  </w:style>
  <w:style w:type="character" w:customStyle="1" w:styleId="ListLabel16">
    <w:name w:val="ListLabel 16"/>
    <w:qFormat/>
    <w:rPr>
      <w:b w:val="0"/>
      <w:i w:val="0"/>
      <w:sz w:val="22"/>
      <w:szCs w:val="22"/>
    </w:rPr>
  </w:style>
  <w:style w:type="character" w:customStyle="1" w:styleId="ListLabel17">
    <w:name w:val="ListLabel 17"/>
    <w:qFormat/>
    <w:rPr>
      <w:b w:val="0"/>
      <w:i w:val="0"/>
      <w:sz w:val="22"/>
    </w:rPr>
  </w:style>
  <w:style w:type="character" w:customStyle="1" w:styleId="ListLabel18">
    <w:name w:val="ListLabel 18"/>
    <w:qFormat/>
    <w:rPr>
      <w:b w:val="0"/>
      <w:i w:val="0"/>
      <w:sz w:val="22"/>
    </w:rPr>
  </w:style>
  <w:style w:type="character" w:customStyle="1" w:styleId="ListLabel19">
    <w:name w:val="ListLabel 19"/>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ListLabel20">
    <w:name w:val="ListLabel 20"/>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ListLabel21">
    <w:name w:val="ListLabel 21"/>
    <w:qFormat/>
    <w:rPr>
      <w:rFonts w:cs="Times New Roman"/>
      <w:b w:val="0"/>
      <w:i w:val="0"/>
      <w:iCs w:val="0"/>
      <w:caps/>
      <w:strike w:val="0"/>
      <w:dstrike w:val="0"/>
      <w:vanish w:val="0"/>
      <w:color w:val="000000"/>
      <w:spacing w:val="0"/>
      <w:kern w:val="0"/>
      <w:position w:val="0"/>
      <w:sz w:val="22"/>
      <w:u w:val="none"/>
      <w:vertAlign w:val="baseline"/>
      <w:em w:val="none"/>
    </w:rPr>
  </w:style>
  <w:style w:type="character" w:customStyle="1" w:styleId="ListLabel22">
    <w:name w:val="ListLabel 22"/>
    <w:qFormat/>
    <w:rPr>
      <w:rFonts w:cs="Times New Roman"/>
      <w:b w:val="0"/>
      <w:i w:val="0"/>
      <w:iCs w:val="0"/>
      <w:caps/>
      <w:strike w:val="0"/>
      <w:dstrike w:val="0"/>
      <w:vanish w:val="0"/>
      <w:color w:val="000000"/>
      <w:spacing w:val="0"/>
      <w:kern w:val="0"/>
      <w:position w:val="0"/>
      <w:sz w:val="22"/>
      <w:u w:val="none"/>
      <w:vertAlign w:val="baseline"/>
      <w:em w:val="none"/>
    </w:rPr>
  </w:style>
  <w:style w:type="paragraph" w:customStyle="1" w:styleId="Titre">
    <w:name w:val="Titre"/>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itle">
    <w:name w:val="Title"/>
    <w:basedOn w:val="Normal"/>
    <w:qFormat/>
    <w:rsid w:val="000348ED"/>
    <w:pPr>
      <w:spacing w:before="240" w:after="60"/>
      <w:jc w:val="center"/>
      <w:outlineLvl w:val="0"/>
    </w:pPr>
    <w:rPr>
      <w:rFonts w:cs="Arial"/>
      <w:b/>
      <w:bCs/>
      <w:kern w:val="2"/>
      <w:sz w:val="32"/>
      <w:szCs w:val="32"/>
    </w:rPr>
  </w:style>
  <w:style w:type="paragraph" w:customStyle="1" w:styleId="Annex">
    <w:name w:val="Annex"/>
    <w:basedOn w:val="Heading1"/>
    <w:next w:val="Normal"/>
    <w:qFormat/>
    <w:rsid w:val="005D05AC"/>
    <w:pPr>
      <w:numPr>
        <w:numId w:val="0"/>
      </w:numPr>
      <w:tabs>
        <w:tab w:val="left" w:pos="1701"/>
      </w:tabs>
      <w:ind w:left="567" w:hanging="567"/>
    </w:pPr>
    <w:rPr>
      <w:bCs/>
    </w:rPr>
  </w:style>
  <w:style w:type="paragraph" w:customStyle="1" w:styleId="Bullet1">
    <w:name w:val="Bullet 1"/>
    <w:basedOn w:val="Normal"/>
    <w:qFormat/>
    <w:rsid w:val="00E66034"/>
    <w:pPr>
      <w:tabs>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qFormat/>
    <w:rsid w:val="00E93C9B"/>
    <w:pPr>
      <w:suppressAutoHyphens/>
      <w:spacing w:after="120"/>
      <w:ind w:left="1134"/>
      <w:jc w:val="both"/>
    </w:pPr>
    <w:rPr>
      <w:lang w:eastAsia="en-GB"/>
    </w:rPr>
  </w:style>
  <w:style w:type="paragraph" w:customStyle="1" w:styleId="Bullet2">
    <w:name w:val="Bullet 2"/>
    <w:basedOn w:val="Normal"/>
    <w:qFormat/>
    <w:rsid w:val="00E93C9B"/>
    <w:pPr>
      <w:tabs>
        <w:tab w:val="left" w:pos="1701"/>
      </w:tabs>
      <w:spacing w:after="120"/>
      <w:ind w:left="1701" w:hanging="567"/>
      <w:jc w:val="both"/>
    </w:pPr>
    <w:rPr>
      <w:lang w:eastAsia="en-GB"/>
    </w:rPr>
  </w:style>
  <w:style w:type="paragraph" w:customStyle="1" w:styleId="Bullet2text">
    <w:name w:val="Bullet 2 text"/>
    <w:basedOn w:val="Normal"/>
    <w:qFormat/>
    <w:rsid w:val="00E93C9B"/>
    <w:pPr>
      <w:suppressAutoHyphens/>
      <w:spacing w:after="120"/>
      <w:ind w:left="1701"/>
      <w:jc w:val="both"/>
    </w:pPr>
    <w:rPr>
      <w:lang w:eastAsia="en-GB"/>
    </w:rPr>
  </w:style>
  <w:style w:type="paragraph" w:customStyle="1" w:styleId="Bullet3">
    <w:name w:val="Bullet 3"/>
    <w:basedOn w:val="Normal"/>
    <w:qFormat/>
    <w:rsid w:val="00E93C9B"/>
    <w:pPr>
      <w:tabs>
        <w:tab w:val="left" w:pos="2268"/>
      </w:tabs>
      <w:spacing w:after="60"/>
      <w:ind w:left="2268" w:hanging="567"/>
      <w:jc w:val="both"/>
    </w:pPr>
    <w:rPr>
      <w:sz w:val="20"/>
      <w:lang w:eastAsia="en-GB"/>
    </w:rPr>
  </w:style>
  <w:style w:type="paragraph" w:customStyle="1" w:styleId="Bullet3text">
    <w:name w:val="Bullet 3 text"/>
    <w:basedOn w:val="Normal"/>
    <w:qFormat/>
    <w:rsid w:val="00E93C9B"/>
    <w:pPr>
      <w:suppressAutoHyphens/>
      <w:spacing w:after="60"/>
      <w:ind w:left="2268"/>
    </w:pPr>
    <w:rPr>
      <w:sz w:val="20"/>
      <w:lang w:eastAsia="en-GB"/>
    </w:rPr>
  </w:style>
  <w:style w:type="paragraph" w:customStyle="1" w:styleId="Figure">
    <w:name w:val="Figure_#"/>
    <w:basedOn w:val="Normal"/>
    <w:next w:val="Normal"/>
    <w:qFormat/>
    <w:rsid w:val="005D05AC"/>
    <w:pPr>
      <w:jc w:val="center"/>
    </w:pPr>
    <w:rPr>
      <w:i/>
      <w:lang w:eastAsia="en-GB"/>
    </w:rPr>
  </w:style>
  <w:style w:type="paragraph" w:styleId="Footer">
    <w:name w:val="footer"/>
    <w:basedOn w:val="Normal"/>
    <w:link w:val="FooterChar"/>
    <w:rsid w:val="005D05AC"/>
    <w:pPr>
      <w:tabs>
        <w:tab w:val="center" w:pos="4820"/>
        <w:tab w:val="right" w:pos="9639"/>
      </w:tabs>
    </w:pPr>
    <w:rPr>
      <w:rFonts w:eastAsia="MS Mincho" w:cs="Arial"/>
      <w:lang w:eastAsia="ja-JP"/>
    </w:rPr>
  </w:style>
  <w:style w:type="paragraph" w:styleId="Header">
    <w:name w:val="header"/>
    <w:basedOn w:val="Normal"/>
    <w:link w:val="HeaderChar"/>
    <w:rsid w:val="005D05AC"/>
    <w:pPr>
      <w:tabs>
        <w:tab w:val="center" w:pos="4820"/>
        <w:tab w:val="right" w:pos="9639"/>
      </w:tabs>
      <w:jc w:val="right"/>
    </w:pPr>
    <w:rPr>
      <w:rFonts w:eastAsia="MS Mincho"/>
      <w:sz w:val="20"/>
      <w:lang w:eastAsia="ja-JP"/>
    </w:rPr>
  </w:style>
  <w:style w:type="paragraph" w:customStyle="1" w:styleId="Punktliste31">
    <w:name w:val="Punktliste 31"/>
    <w:basedOn w:val="Normal"/>
    <w:qFormat/>
    <w:rsid w:val="00E66034"/>
    <w:pPr>
      <w:spacing w:after="120"/>
      <w:jc w:val="both"/>
    </w:pPr>
    <w:rPr>
      <w:rFonts w:ascii="Calibri" w:hAnsi="Calibri"/>
      <w:lang w:eastAsia="en-GB"/>
    </w:rPr>
  </w:style>
  <w:style w:type="paragraph" w:customStyle="1" w:styleId="List1indent1">
    <w:name w:val="List 1 indent 1"/>
    <w:basedOn w:val="Normal"/>
    <w:qFormat/>
    <w:rsid w:val="00E93C9B"/>
    <w:pPr>
      <w:spacing w:after="120"/>
      <w:jc w:val="both"/>
    </w:pPr>
    <w:rPr>
      <w:lang w:eastAsia="en-GB"/>
    </w:rPr>
  </w:style>
  <w:style w:type="paragraph" w:customStyle="1" w:styleId="List1indent1text">
    <w:name w:val="List 1 indent 1 text"/>
    <w:basedOn w:val="Normal"/>
    <w:qFormat/>
    <w:rsid w:val="00E93C9B"/>
    <w:pPr>
      <w:spacing w:after="120"/>
      <w:ind w:left="1134"/>
      <w:jc w:val="both"/>
    </w:pPr>
    <w:rPr>
      <w:lang w:eastAsia="fr-FR"/>
    </w:rPr>
  </w:style>
  <w:style w:type="paragraph" w:customStyle="1" w:styleId="List1indent2">
    <w:name w:val="List 1 indent 2"/>
    <w:basedOn w:val="Normal"/>
    <w:qFormat/>
    <w:rsid w:val="00E93C9B"/>
    <w:pPr>
      <w:widowControl w:val="0"/>
      <w:spacing w:after="120"/>
      <w:jc w:val="both"/>
    </w:pPr>
    <w:rPr>
      <w:sz w:val="20"/>
      <w:lang w:eastAsia="en-GB"/>
    </w:rPr>
  </w:style>
  <w:style w:type="paragraph" w:customStyle="1" w:styleId="List1indent2text">
    <w:name w:val="List 1 indent 2 text"/>
    <w:basedOn w:val="Normal"/>
    <w:qFormat/>
    <w:rsid w:val="00E93C9B"/>
    <w:pPr>
      <w:spacing w:after="60"/>
      <w:ind w:left="1701"/>
      <w:jc w:val="both"/>
    </w:pPr>
    <w:rPr>
      <w:sz w:val="20"/>
      <w:lang w:eastAsia="en-GB"/>
    </w:rPr>
  </w:style>
  <w:style w:type="paragraph" w:customStyle="1" w:styleId="List1text">
    <w:name w:val="List 1 text"/>
    <w:basedOn w:val="Normal"/>
    <w:qFormat/>
    <w:rsid w:val="005D05AC"/>
    <w:pPr>
      <w:spacing w:after="120"/>
      <w:ind w:left="567"/>
    </w:pPr>
    <w:rPr>
      <w:lang w:eastAsia="en-GB"/>
    </w:rPr>
  </w:style>
  <w:style w:type="paragraph" w:customStyle="1" w:styleId="StyleTableofFiguresJustifiedAfter6pt">
    <w:name w:val="Style Table of Figures + Justified After:  6 pt"/>
    <w:basedOn w:val="TableofFigures"/>
    <w:qFormat/>
    <w:rsid w:val="005D05AC"/>
    <w:pPr>
      <w:tabs>
        <w:tab w:val="right" w:pos="9639"/>
      </w:tabs>
      <w:spacing w:after="120"/>
      <w:ind w:right="284"/>
      <w:jc w:val="both"/>
    </w:pPr>
    <w:rPr>
      <w:rFonts w:eastAsia="MS Mincho"/>
      <w:lang w:eastAsia="ja-JP"/>
    </w:rPr>
  </w:style>
  <w:style w:type="paragraph" w:styleId="TableofFigures">
    <w:name w:val="table of figures"/>
    <w:basedOn w:val="Normal"/>
    <w:next w:val="Normal"/>
    <w:uiPriority w:val="99"/>
    <w:unhideWhenUsed/>
    <w:qFormat/>
    <w:rsid w:val="005D05AC"/>
    <w:rPr>
      <w:lang w:eastAsia="fr-FR"/>
    </w:rPr>
  </w:style>
  <w:style w:type="paragraph" w:customStyle="1" w:styleId="Table">
    <w:name w:val="Table_#"/>
    <w:basedOn w:val="Normal"/>
    <w:next w:val="Normal"/>
    <w:qFormat/>
    <w:rsid w:val="005D05AC"/>
    <w:pPr>
      <w:jc w:val="center"/>
    </w:pPr>
    <w:rPr>
      <w:i/>
      <w:szCs w:val="24"/>
      <w:lang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paragraph" w:styleId="BodyTextIndent2">
    <w:name w:val="Body Text Indent 2"/>
    <w:basedOn w:val="Normal"/>
    <w:link w:val="BodyTextIndent2Char"/>
    <w:qFormat/>
    <w:rsid w:val="00002906"/>
    <w:pPr>
      <w:spacing w:after="120"/>
      <w:ind w:left="1134"/>
      <w:jc w:val="both"/>
    </w:pPr>
    <w:rPr>
      <w:rFonts w:eastAsia="Calibri" w:cs="Calibri"/>
      <w:szCs w:val="22"/>
      <w:lang w:eastAsia="de-DE"/>
    </w:rPr>
  </w:style>
  <w:style w:type="paragraph" w:styleId="BalloonText">
    <w:name w:val="Balloon Text"/>
    <w:basedOn w:val="Normal"/>
    <w:link w:val="BalloonTextChar"/>
    <w:rsid w:val="002D2D64"/>
    <w:rPr>
      <w:rFonts w:ascii="Segoe UI" w:hAnsi="Segoe UI" w:cs="Segoe UI"/>
      <w:sz w:val="18"/>
      <w:szCs w:val="18"/>
    </w:rPr>
  </w:style>
  <w:style w:type="character" w:customStyle="1" w:styleId="BalloonTextChar">
    <w:name w:val="Balloon Text Char"/>
    <w:basedOn w:val="DefaultParagraphFont"/>
    <w:link w:val="BalloonText"/>
    <w:rsid w:val="002D2D64"/>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1709</Characters>
  <Application>Microsoft Office Word</Application>
  <DocSecurity>0</DocSecurity>
  <Lines>14</Lines>
  <Paragraphs>4</Paragraphs>
  <ScaleCrop>false</ScaleCrop>
  <HeadingPairs>
    <vt:vector size="2" baseType="variant">
      <vt:variant>
        <vt:lpstr>Tittel</vt:lpstr>
      </vt:variant>
      <vt:variant>
        <vt:i4>1</vt:i4>
      </vt:variant>
    </vt:vector>
  </HeadingPairs>
  <TitlesOfParts>
    <vt:vector size="1" baseType="lpstr">
      <vt:lpstr>Liaison note from ANM to ANIS Working Group</vt:lpstr>
    </vt:vector>
  </TitlesOfParts>
  <Company>DFO-MPO</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Tomren, Guttorm</dc:creator>
  <dc:description/>
  <cp:lastModifiedBy>Tom Southall</cp:lastModifiedBy>
  <cp:revision>5</cp:revision>
  <dcterms:created xsi:type="dcterms:W3CDTF">2019-04-04T09:55:00Z</dcterms:created>
  <dcterms:modified xsi:type="dcterms:W3CDTF">2019-04-04T16:02:00Z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DFO-MPO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